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D21" w:rsidRDefault="00CB1D21" w:rsidP="00CB1D2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6BEE477" wp14:editId="644F6BD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D21" w:rsidRDefault="00CB1D21" w:rsidP="00CB1D2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B1D21" w:rsidRDefault="00CB1D21" w:rsidP="00CB1D2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B1D21" w:rsidRDefault="00CB1D21" w:rsidP="00CB1D2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B1D21" w:rsidRDefault="00CB1D21" w:rsidP="00CB1D2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B1D21" w:rsidRDefault="00CB1D21" w:rsidP="00CB1D2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B1D21" w:rsidRDefault="00CB1D21" w:rsidP="00CB1D2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55E9034D" wp14:editId="673085E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527D73" w:rsidRPr="00527D73" w:rsidRDefault="00527D73" w:rsidP="00527D73">
      <w:pPr>
        <w:spacing w:line="240" w:lineRule="auto"/>
        <w:jc w:val="center"/>
        <w:rPr>
          <w:rFonts w:ascii="Times New Roman" w:hAnsi="Times New Roman" w:cs="Times New Roman"/>
          <w:b/>
          <w:sz w:val="26"/>
          <w:szCs w:val="26"/>
          <w:shd w:val="clear" w:color="auto" w:fill="FFFFFF"/>
        </w:rPr>
      </w:pPr>
      <w:r w:rsidRPr="00527D73">
        <w:rPr>
          <w:rFonts w:ascii="Times New Roman" w:hAnsi="Times New Roman" w:cs="Times New Roman"/>
          <w:b/>
          <w:sz w:val="26"/>
          <w:szCs w:val="26"/>
          <w:shd w:val="clear" w:color="auto" w:fill="FFFFFF"/>
          <w:lang w:val="uk-UA"/>
        </w:rPr>
        <w:t>П</w:t>
      </w:r>
      <w:r w:rsidRPr="00527D73">
        <w:rPr>
          <w:rFonts w:ascii="Times New Roman" w:hAnsi="Times New Roman" w:cs="Times New Roman"/>
          <w:b/>
          <w:sz w:val="26"/>
          <w:szCs w:val="26"/>
          <w:shd w:val="clear" w:color="auto" w:fill="FFFFFF"/>
          <w:lang w:val="uk-UA"/>
        </w:rPr>
        <w:t>одатков</w:t>
      </w:r>
      <w:r w:rsidRPr="00527D73">
        <w:rPr>
          <w:rFonts w:ascii="Times New Roman" w:hAnsi="Times New Roman" w:cs="Times New Roman"/>
          <w:b/>
          <w:sz w:val="26"/>
          <w:szCs w:val="26"/>
          <w:shd w:val="clear" w:color="auto" w:fill="FFFFFF"/>
          <w:lang w:val="uk-UA"/>
        </w:rPr>
        <w:t>а</w:t>
      </w:r>
      <w:r w:rsidRPr="00527D73">
        <w:rPr>
          <w:rFonts w:ascii="Times New Roman" w:hAnsi="Times New Roman" w:cs="Times New Roman"/>
          <w:b/>
          <w:sz w:val="26"/>
          <w:szCs w:val="26"/>
          <w:shd w:val="clear" w:color="auto" w:fill="FFFFFF"/>
          <w:lang w:val="uk-UA"/>
        </w:rPr>
        <w:t xml:space="preserve"> знижк</w:t>
      </w:r>
      <w:r w:rsidRPr="00527D73">
        <w:rPr>
          <w:rFonts w:ascii="Times New Roman" w:hAnsi="Times New Roman" w:cs="Times New Roman"/>
          <w:b/>
          <w:sz w:val="26"/>
          <w:szCs w:val="26"/>
          <w:shd w:val="clear" w:color="auto" w:fill="FFFFFF"/>
          <w:lang w:val="uk-UA"/>
        </w:rPr>
        <w:t>а</w:t>
      </w:r>
      <w:r w:rsidRPr="00527D73">
        <w:rPr>
          <w:rFonts w:ascii="Times New Roman" w:hAnsi="Times New Roman" w:cs="Times New Roman"/>
          <w:b/>
          <w:sz w:val="26"/>
          <w:szCs w:val="26"/>
          <w:shd w:val="clear" w:color="auto" w:fill="FFFFFF"/>
          <w:lang w:val="uk-UA"/>
        </w:rPr>
        <w:t xml:space="preserve"> щодо суми коштів, сплачених на будівництво (придбання) доступного житла</w:t>
      </w:r>
    </w:p>
    <w:p w:rsidR="00637FB6" w:rsidRPr="00CB1D21" w:rsidRDefault="00637FB6" w:rsidP="00806046">
      <w:pPr>
        <w:spacing w:line="240" w:lineRule="auto"/>
        <w:jc w:val="both"/>
        <w:rPr>
          <w:rFonts w:ascii="Times New Roman" w:hAnsi="Times New Roman" w:cs="Times New Roman"/>
          <w:i/>
          <w:sz w:val="26"/>
          <w:szCs w:val="26"/>
          <w:u w:val="single"/>
          <w:shd w:val="clear" w:color="auto" w:fill="FFFFFF"/>
          <w:lang w:val="uk-UA"/>
        </w:rPr>
      </w:pPr>
      <w:r w:rsidRPr="00CB1D21">
        <w:rPr>
          <w:rFonts w:ascii="Times New Roman" w:hAnsi="Times New Roman" w:cs="Times New Roman"/>
          <w:i/>
          <w:sz w:val="26"/>
          <w:szCs w:val="26"/>
          <w:u w:val="single"/>
          <w:shd w:val="clear" w:color="auto" w:fill="FFFFFF"/>
          <w:lang w:val="uk-UA"/>
        </w:rPr>
        <w:t>Які документи, крім податкової декларації про майновий стан і доходи, має подати платник податку до контролюючого органу щоб скористатись правом на нарахування податкової знижки щодо суми коштів, сплачених на будівництво (придбання) доступного житла?</w:t>
      </w:r>
    </w:p>
    <w:p w:rsidR="00637FB6" w:rsidRPr="00CB1D21" w:rsidRDefault="00637FB6" w:rsidP="00637FB6">
      <w:pPr>
        <w:spacing w:after="0" w:line="240" w:lineRule="auto"/>
        <w:ind w:firstLine="567"/>
        <w:jc w:val="both"/>
        <w:rPr>
          <w:rFonts w:ascii="Times New Roman" w:hAnsi="Times New Roman" w:cs="Times New Roman"/>
          <w:sz w:val="26"/>
          <w:szCs w:val="26"/>
          <w:shd w:val="clear" w:color="auto" w:fill="FFFFFF"/>
          <w:lang w:val="uk-UA"/>
        </w:rPr>
      </w:pPr>
      <w:r w:rsidRPr="00CB1D21">
        <w:rPr>
          <w:rFonts w:ascii="Times New Roman" w:hAnsi="Times New Roman" w:cs="Times New Roman"/>
          <w:sz w:val="26"/>
          <w:szCs w:val="26"/>
          <w:shd w:val="clear" w:color="auto" w:fill="FFFFFF"/>
          <w:lang w:val="uk-UA"/>
        </w:rPr>
        <w:t>Відповідно до п. 1 ст. 4 Закону України від 25 грудня 2008 року № 800-VI «Про запобігання впливу світової фінансової кризи на розвиток будівельної галузі та житлового будівництва» із змінами та доповненнями доступне житло – це збудовані і ті, що будуються за державної підтримки, житлові будинки (комплекси) та квартири.</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Пунктом 3 Порядку надання державної підтримки та забезпечення громадян доступним житлом, затвердженого постановою Кабінету Міністрів України від 10 жовтня 2018 року № 819 «Деякі питання забезпечення громадян доступним житлом» із змінами та доповненнями (далі – Порядок № 819) передбачено, що забезпечення доступним житлом здійснюється шляхом надання державної підтримки, яка полягає у сплаті державою:</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30 </w:t>
      </w:r>
      <w:proofErr w:type="spellStart"/>
      <w:r w:rsidRPr="00CB1D21">
        <w:rPr>
          <w:rFonts w:ascii="Times New Roman" w:hAnsi="Times New Roman" w:cs="Times New Roman"/>
          <w:sz w:val="26"/>
          <w:szCs w:val="26"/>
          <w:shd w:val="clear" w:color="auto" w:fill="FFFFFF"/>
          <w:lang w:val="uk-UA"/>
        </w:rPr>
        <w:t>відс</w:t>
      </w:r>
      <w:proofErr w:type="spellEnd"/>
      <w:r w:rsidRPr="00CB1D21">
        <w:rPr>
          <w:rFonts w:ascii="Times New Roman" w:hAnsi="Times New Roman" w:cs="Times New Roman"/>
          <w:sz w:val="26"/>
          <w:szCs w:val="26"/>
          <w:shd w:val="clear" w:color="auto" w:fill="FFFFFF"/>
          <w:lang w:val="uk-UA"/>
        </w:rPr>
        <w:t>. вартості будівництва (придбання) доступного житла та/або надання пільгового іпотечного житлового кредиту;</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50 </w:t>
      </w:r>
      <w:proofErr w:type="spellStart"/>
      <w:r w:rsidRPr="00CB1D21">
        <w:rPr>
          <w:rFonts w:ascii="Times New Roman" w:hAnsi="Times New Roman" w:cs="Times New Roman"/>
          <w:sz w:val="26"/>
          <w:szCs w:val="26"/>
          <w:shd w:val="clear" w:color="auto" w:fill="FFFFFF"/>
          <w:lang w:val="uk-UA"/>
        </w:rPr>
        <w:t>відс</w:t>
      </w:r>
      <w:proofErr w:type="spellEnd"/>
      <w:r w:rsidRPr="00CB1D21">
        <w:rPr>
          <w:rFonts w:ascii="Times New Roman" w:hAnsi="Times New Roman" w:cs="Times New Roman"/>
          <w:sz w:val="26"/>
          <w:szCs w:val="26"/>
          <w:shd w:val="clear" w:color="auto" w:fill="FFFFFF"/>
          <w:lang w:val="uk-UA"/>
        </w:rPr>
        <w:t xml:space="preserve">. вартості будівництва (придбання) доступного житла та/або пільгового іпотечного житлового кредиту для осіб, на яких поширюється дія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xml:space="preserve">. 19 і 20 частини першої ст. 6,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10 – 14 частини другої ст. 7 та абзаців четвертого, шостого і восьмого п. 1 ст. 10 Закону України від 22 жовтня 1993 року № 3551-ХІІ «Про статус ветеранів війни, гарантії їх соціального захисту» із змінами та доповненнями;</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50 </w:t>
      </w:r>
      <w:proofErr w:type="spellStart"/>
      <w:r w:rsidRPr="00CB1D21">
        <w:rPr>
          <w:rFonts w:ascii="Times New Roman" w:hAnsi="Times New Roman" w:cs="Times New Roman"/>
          <w:sz w:val="26"/>
          <w:szCs w:val="26"/>
          <w:shd w:val="clear" w:color="auto" w:fill="FFFFFF"/>
          <w:lang w:val="uk-UA"/>
        </w:rPr>
        <w:t>відс</w:t>
      </w:r>
      <w:proofErr w:type="spellEnd"/>
      <w:r w:rsidRPr="00CB1D21">
        <w:rPr>
          <w:rFonts w:ascii="Times New Roman" w:hAnsi="Times New Roman" w:cs="Times New Roman"/>
          <w:sz w:val="26"/>
          <w:szCs w:val="26"/>
          <w:shd w:val="clear" w:color="auto" w:fill="FFFFFF"/>
          <w:lang w:val="uk-UA"/>
        </w:rPr>
        <w:t>. вартості будівництва (придбання) доступного житла та/або пільгового іпотечного житлового кредиту для осіб, на яких поширюється дія Закону України від 20 жовтня 2014 року № 1706-VII «Про забезпечення прав і свобод внутрішньо переміщених осіб» із змінами та доповненнями.</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Згідно з п. 4 Порядку № 819 державна підтримка надається шляхом сплати за рахунок коштів державного та/або місцевого бюджету 30 або 50 </w:t>
      </w:r>
      <w:proofErr w:type="spellStart"/>
      <w:r w:rsidRPr="00CB1D21">
        <w:rPr>
          <w:rFonts w:ascii="Times New Roman" w:hAnsi="Times New Roman" w:cs="Times New Roman"/>
          <w:sz w:val="26"/>
          <w:szCs w:val="26"/>
          <w:shd w:val="clear" w:color="auto" w:fill="FFFFFF"/>
          <w:lang w:val="uk-UA"/>
        </w:rPr>
        <w:t>відс</w:t>
      </w:r>
      <w:proofErr w:type="spellEnd"/>
      <w:r w:rsidRPr="00CB1D21">
        <w:rPr>
          <w:rFonts w:ascii="Times New Roman" w:hAnsi="Times New Roman" w:cs="Times New Roman"/>
          <w:sz w:val="26"/>
          <w:szCs w:val="26"/>
          <w:shd w:val="clear" w:color="auto" w:fill="FFFFFF"/>
          <w:lang w:val="uk-UA"/>
        </w:rPr>
        <w:t xml:space="preserve">. вартості нормативної площі доступного житла з урахуванням абзаців другого – четвертого п. 3 Порядку № 819. При цьому одержувачі державної підтримки вносять на свій поточний рахунок, відкритий в банку, кошти в обсязі 70 або 50 </w:t>
      </w:r>
      <w:proofErr w:type="spellStart"/>
      <w:r w:rsidRPr="00CB1D21">
        <w:rPr>
          <w:rFonts w:ascii="Times New Roman" w:hAnsi="Times New Roman" w:cs="Times New Roman"/>
          <w:sz w:val="26"/>
          <w:szCs w:val="26"/>
          <w:shd w:val="clear" w:color="auto" w:fill="FFFFFF"/>
          <w:lang w:val="uk-UA"/>
        </w:rPr>
        <w:t>відс</w:t>
      </w:r>
      <w:proofErr w:type="spellEnd"/>
      <w:r w:rsidRPr="00CB1D21">
        <w:rPr>
          <w:rFonts w:ascii="Times New Roman" w:hAnsi="Times New Roman" w:cs="Times New Roman"/>
          <w:sz w:val="26"/>
          <w:szCs w:val="26"/>
          <w:shd w:val="clear" w:color="auto" w:fill="FFFFFF"/>
          <w:lang w:val="uk-UA"/>
        </w:rPr>
        <w:t>. вартості нормативної площі доступного житла.</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Одержувачі державної підтримки можуть отримувати кредит в банку для сплати частини вартості будівництва (придбання) доступного житла, що перевищує розмір державної підтримки, на умовах та у порядку, що визначені банком.</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При цьому відповідно до п. 2 Порядку № 819 договір придбання житла – договір, що укладається між одержувачем державної підтримки і </w:t>
      </w:r>
      <w:proofErr w:type="spellStart"/>
      <w:r w:rsidRPr="00CB1D21">
        <w:rPr>
          <w:rFonts w:ascii="Times New Roman" w:hAnsi="Times New Roman" w:cs="Times New Roman"/>
          <w:sz w:val="26"/>
          <w:szCs w:val="26"/>
          <w:shd w:val="clear" w:color="auto" w:fill="FFFFFF"/>
          <w:lang w:val="uk-UA"/>
        </w:rPr>
        <w:t>відчужувачем</w:t>
      </w:r>
      <w:proofErr w:type="spellEnd"/>
      <w:r w:rsidRPr="00CB1D21">
        <w:rPr>
          <w:rFonts w:ascii="Times New Roman" w:hAnsi="Times New Roman" w:cs="Times New Roman"/>
          <w:sz w:val="26"/>
          <w:szCs w:val="26"/>
          <w:shd w:val="clear" w:color="auto" w:fill="FFFFFF"/>
          <w:lang w:val="uk-UA"/>
        </w:rPr>
        <w:t xml:space="preserve"> (продавцем, управителем, замовником, забудовником тощо) відповідно до вимог законодавства з метою забезпечення фінансування будівництва (придбання) житла.</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lastRenderedPageBreak/>
        <w:t>Підпунктом 14.1.170 п. 14.1 ст. 14 Податкового кодексу України від 02 грудня 2010 року № 2755-VI із змінами та доповненнями (далі – ПКУ) визначено, що податкова знижка для фізичних осіб, які не є суб’єктами господарювання, – документально підтверджена сума (вартість) витрат платника податку – резидента у зв’язку з придбанням товарів (робіт, послуг) у резидентів – фізичних або юридичних осіб протягом звітного року, на яку дозволяється зменшення його загального річного оподатковуваного доходу, одержаного за наслідками такого звітного року у вигляді заробітної плати та/або у вигляді дивідендів, у випадках, визначених ПКУ.</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Відповідно до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166.3.8 п. 166.3 ст. 166 ПКУ платник податку має право включити до податкової знижки у зменшення оподаткованого доходу за наслідками звітного податкового року, нарахованого у вигляді заробітної плати, зменшеного з урахуванням п. 164.6 ст. 164 ПКУ фактично здійснені ним протягом звітного року суми витрати на сплату видатків на будівництво (придбання) доступного житла, визначеного законом, у тому числі на погашення пільгового іпотечного житлового кредиту, наданого на такі цілі та процентів за ним.</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або товарними чеками, прибутковими касовими ордерами, що ідентифікують продавця товарів (робіт, послуг) і особу, яка звертається за податковою знижкою (їх покупця (отримувача), а також копіями договорів за їх наявності в яких обов’язково повинно бути відображено вартість таких товарів (робіт, послуг) і строк оплати за такі товари (роботи, послуги)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166.2.1 п. 166.2 ст. 166 ПКУ).</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 xml:space="preserve">Копії зазначених у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166.2.1 п. 166.2 ст. 166 ПКУ документів (крім електронних розрахункових документів) надаються разом з податковою декларацією про майновий стан і доходи (далі – податкова декларація),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ПКУ.</w:t>
      </w:r>
    </w:p>
    <w:p w:rsidR="00637FB6" w:rsidRPr="00CB1D21" w:rsidRDefault="00637FB6" w:rsidP="00637FB6">
      <w:pPr>
        <w:spacing w:after="0" w:line="240" w:lineRule="auto"/>
        <w:ind w:firstLine="567"/>
        <w:jc w:val="both"/>
        <w:rPr>
          <w:rFonts w:ascii="Times New Roman" w:hAnsi="Times New Roman" w:cs="Times New Roman"/>
          <w:sz w:val="26"/>
          <w:szCs w:val="26"/>
          <w:lang w:val="uk-UA"/>
        </w:rPr>
      </w:pPr>
      <w:r w:rsidRPr="00CB1D21">
        <w:rPr>
          <w:rFonts w:ascii="Times New Roman" w:hAnsi="Times New Roman" w:cs="Times New Roman"/>
          <w:sz w:val="26"/>
          <w:szCs w:val="26"/>
          <w:shd w:val="clear" w:color="auto" w:fill="FFFFFF"/>
          <w:lang w:val="uk-UA"/>
        </w:rPr>
        <w:t>У разі якщо відповідні витрати підтверджені електронним розрахунковим документом, платник податків зазначає в податковій декларації лише реквізити електронного розрахункового документа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166.2.2 п. 166.2 ст. 166 ПКУ).</w:t>
      </w:r>
    </w:p>
    <w:p w:rsidR="00637FB6" w:rsidRPr="00CB1D21" w:rsidRDefault="00637FB6" w:rsidP="00637FB6">
      <w:pPr>
        <w:spacing w:after="0" w:line="240" w:lineRule="auto"/>
        <w:ind w:firstLine="567"/>
        <w:jc w:val="both"/>
        <w:rPr>
          <w:rFonts w:ascii="Times New Roman" w:hAnsi="Times New Roman" w:cs="Times New Roman"/>
          <w:sz w:val="26"/>
          <w:szCs w:val="26"/>
          <w:shd w:val="clear" w:color="auto" w:fill="FFFFFF"/>
          <w:lang w:val="uk-UA"/>
        </w:rPr>
      </w:pPr>
      <w:r w:rsidRPr="00CB1D21">
        <w:rPr>
          <w:rFonts w:ascii="Times New Roman" w:hAnsi="Times New Roman" w:cs="Times New Roman"/>
          <w:sz w:val="26"/>
          <w:szCs w:val="26"/>
          <w:shd w:val="clear" w:color="auto" w:fill="FFFFFF"/>
          <w:lang w:val="uk-UA"/>
        </w:rPr>
        <w:t xml:space="preserve">Разом з тим, </w:t>
      </w:r>
      <w:proofErr w:type="spellStart"/>
      <w:r w:rsidRPr="00CB1D21">
        <w:rPr>
          <w:rFonts w:ascii="Times New Roman" w:hAnsi="Times New Roman" w:cs="Times New Roman"/>
          <w:sz w:val="26"/>
          <w:szCs w:val="26"/>
          <w:shd w:val="clear" w:color="auto" w:fill="FFFFFF"/>
          <w:lang w:val="uk-UA"/>
        </w:rPr>
        <w:t>п.п</w:t>
      </w:r>
      <w:proofErr w:type="spellEnd"/>
      <w:r w:rsidRPr="00CB1D21">
        <w:rPr>
          <w:rFonts w:ascii="Times New Roman" w:hAnsi="Times New Roman" w:cs="Times New Roman"/>
          <w:sz w:val="26"/>
          <w:szCs w:val="26"/>
          <w:shd w:val="clear" w:color="auto" w:fill="FFFFFF"/>
          <w:lang w:val="uk-UA"/>
        </w:rPr>
        <w:t>. 166.2.3 п. 166.2 ст. 166 ПКУ передбачено, що для документального підтвердження витрат, що включаються до податкової знижки, контролюючий орган не має права вимагати від платника податку надання документів та/або їх копій, які містяться в автоматизованих інформаційних і довідкових системах, реєстрах, банках (базах) даних органів державної влади та/або органів місцевого самоврядування, інформація з яких безоплатно отримується контролюючими органами відповідно до ПКУ та міститься в інформаційних базах центрального органу виконавчої влади, що реалізує державну податкову політику.</w:t>
      </w:r>
    </w:p>
    <w:p w:rsidR="00CB1D21" w:rsidRPr="00CB1D21" w:rsidRDefault="00CB1D21" w:rsidP="00CB1D21">
      <w:pPr>
        <w:ind w:firstLine="567"/>
        <w:rPr>
          <w:rFonts w:ascii="Times New Roman" w:hAnsi="Times New Roman" w:cs="Times New Roman"/>
          <w:sz w:val="26"/>
          <w:szCs w:val="26"/>
        </w:rPr>
      </w:pPr>
      <w:r w:rsidRPr="00CB1D21">
        <w:rPr>
          <w:rFonts w:ascii="Times New Roman" w:hAnsi="Times New Roman" w:cs="Times New Roman"/>
          <w:sz w:val="26"/>
          <w:szCs w:val="26"/>
          <w:shd w:val="clear" w:color="auto" w:fill="FFFFFF"/>
        </w:rPr>
        <w:t xml:space="preserve">За </w:t>
      </w:r>
      <w:proofErr w:type="spellStart"/>
      <w:r w:rsidRPr="00CB1D21">
        <w:rPr>
          <w:rFonts w:ascii="Times New Roman" w:hAnsi="Times New Roman" w:cs="Times New Roman"/>
          <w:sz w:val="26"/>
          <w:szCs w:val="26"/>
          <w:shd w:val="clear" w:color="auto" w:fill="FFFFFF"/>
        </w:rPr>
        <w:t>інформацією</w:t>
      </w:r>
      <w:proofErr w:type="spellEnd"/>
      <w:r w:rsidRPr="00CB1D21">
        <w:rPr>
          <w:rFonts w:ascii="Times New Roman" w:hAnsi="Times New Roman" w:cs="Times New Roman"/>
          <w:sz w:val="26"/>
          <w:szCs w:val="26"/>
          <w:shd w:val="clear" w:color="auto" w:fill="FFFFFF"/>
        </w:rPr>
        <w:t xml:space="preserve"> </w:t>
      </w:r>
      <w:proofErr w:type="spellStart"/>
      <w:r w:rsidRPr="00CB1D21">
        <w:rPr>
          <w:rFonts w:ascii="Times New Roman" w:hAnsi="Times New Roman" w:cs="Times New Roman"/>
          <w:sz w:val="26"/>
          <w:szCs w:val="26"/>
          <w:shd w:val="clear" w:color="auto" w:fill="FFFFFF"/>
        </w:rPr>
        <w:t>загальнодоступного</w:t>
      </w:r>
      <w:proofErr w:type="spellEnd"/>
      <w:r w:rsidRPr="00CB1D21">
        <w:rPr>
          <w:rFonts w:ascii="Times New Roman" w:hAnsi="Times New Roman" w:cs="Times New Roman"/>
          <w:sz w:val="26"/>
          <w:szCs w:val="26"/>
          <w:shd w:val="clear" w:color="auto" w:fill="FFFFFF"/>
        </w:rPr>
        <w:t xml:space="preserve"> </w:t>
      </w:r>
      <w:proofErr w:type="spellStart"/>
      <w:r w:rsidRPr="00CB1D21">
        <w:rPr>
          <w:rFonts w:ascii="Times New Roman" w:hAnsi="Times New Roman" w:cs="Times New Roman"/>
          <w:sz w:val="26"/>
          <w:szCs w:val="26"/>
          <w:shd w:val="clear" w:color="auto" w:fill="FFFFFF"/>
        </w:rPr>
        <w:t>інформаційно-довідкового</w:t>
      </w:r>
      <w:proofErr w:type="spellEnd"/>
      <w:r w:rsidRPr="00CB1D21">
        <w:rPr>
          <w:rFonts w:ascii="Times New Roman" w:hAnsi="Times New Roman" w:cs="Times New Roman"/>
          <w:sz w:val="26"/>
          <w:szCs w:val="26"/>
          <w:shd w:val="clear" w:color="auto" w:fill="FFFFFF"/>
        </w:rPr>
        <w:t xml:space="preserve"> ресурсу.</w:t>
      </w:r>
    </w:p>
    <w:p w:rsidR="00CB1D21" w:rsidRPr="00527D73" w:rsidRDefault="00CB1D21" w:rsidP="00CB1D21">
      <w:pPr>
        <w:spacing w:after="0" w:line="240" w:lineRule="auto"/>
        <w:jc w:val="both"/>
        <w:rPr>
          <w:rFonts w:ascii="Times New Roman" w:eastAsia="Times New Roman" w:hAnsi="Times New Roman" w:cs="Times New Roman"/>
          <w:sz w:val="28"/>
          <w:szCs w:val="28"/>
          <w:lang w:eastAsia="ru-RU"/>
        </w:rPr>
      </w:pPr>
    </w:p>
    <w:p w:rsidR="005B6E5F" w:rsidRPr="00527D73" w:rsidRDefault="005B6E5F" w:rsidP="00CB1D21">
      <w:pPr>
        <w:spacing w:after="0" w:line="240" w:lineRule="auto"/>
        <w:jc w:val="both"/>
        <w:rPr>
          <w:rFonts w:ascii="Times New Roman" w:eastAsia="Times New Roman" w:hAnsi="Times New Roman" w:cs="Times New Roman"/>
          <w:sz w:val="28"/>
          <w:szCs w:val="28"/>
          <w:lang w:eastAsia="ru-RU"/>
        </w:rPr>
      </w:pPr>
    </w:p>
    <w:p w:rsidR="00CB1D21" w:rsidRPr="00E208DE" w:rsidRDefault="00CB1D21" w:rsidP="00CB1D21">
      <w:pPr>
        <w:spacing w:after="0" w:line="240" w:lineRule="auto"/>
        <w:rPr>
          <w:rFonts w:ascii="Times New Roman" w:hAnsi="Times New Roman" w:cs="Times New Roman"/>
          <w:sz w:val="28"/>
          <w:szCs w:val="28"/>
        </w:rPr>
      </w:pPr>
      <w:bookmarkStart w:id="1" w:name="_GoBack"/>
      <w:bookmarkEnd w:id="1"/>
    </w:p>
    <w:p w:rsidR="00CB1D21" w:rsidRPr="00D92C16" w:rsidRDefault="00CB1D21" w:rsidP="00CB1D21">
      <w:pPr>
        <w:spacing w:after="0" w:line="240" w:lineRule="auto"/>
        <w:rPr>
          <w:rFonts w:ascii="Times New Roman" w:hAnsi="Times New Roman" w:cs="Times New Roman"/>
          <w:sz w:val="28"/>
          <w:szCs w:val="28"/>
        </w:rPr>
      </w:pPr>
    </w:p>
    <w:p w:rsidR="00CB1D21" w:rsidRPr="00527D73" w:rsidRDefault="00CB1D21" w:rsidP="00CB1D21">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527D73">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527D73">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27D73">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527D73">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527D73">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527D73">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527D73">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637FB6" w:rsidRPr="00CB1D21" w:rsidRDefault="00CB1D21" w:rsidP="00CB1D21">
      <w:pPr>
        <w:spacing w:after="0" w:line="240" w:lineRule="auto"/>
        <w:jc w:val="both"/>
        <w:rPr>
          <w:rFonts w:ascii="Times New Roman" w:hAnsi="Times New Roman" w:cs="Times New Roman"/>
          <w:sz w:val="26"/>
          <w:szCs w:val="26"/>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637FB6" w:rsidRPr="00CB1D21"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FB6"/>
    <w:rsid w:val="004A64BE"/>
    <w:rsid w:val="00527D73"/>
    <w:rsid w:val="005B6E5F"/>
    <w:rsid w:val="00637FB6"/>
    <w:rsid w:val="00751448"/>
    <w:rsid w:val="00806046"/>
    <w:rsid w:val="00CB1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1D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1D21"/>
    <w:rPr>
      <w:rFonts w:ascii="Tahoma" w:hAnsi="Tahoma" w:cs="Tahoma"/>
      <w:sz w:val="16"/>
      <w:szCs w:val="16"/>
    </w:rPr>
  </w:style>
  <w:style w:type="character" w:customStyle="1" w:styleId="z-label">
    <w:name w:val="z-label"/>
    <w:basedOn w:val="a0"/>
    <w:rsid w:val="00CB1D21"/>
  </w:style>
  <w:style w:type="character" w:styleId="a5">
    <w:name w:val="Hyperlink"/>
    <w:uiPriority w:val="99"/>
    <w:rsid w:val="00CB1D2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1D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1D21"/>
    <w:rPr>
      <w:rFonts w:ascii="Tahoma" w:hAnsi="Tahoma" w:cs="Tahoma"/>
      <w:sz w:val="16"/>
      <w:szCs w:val="16"/>
    </w:rPr>
  </w:style>
  <w:style w:type="character" w:customStyle="1" w:styleId="z-label">
    <w:name w:val="z-label"/>
    <w:basedOn w:val="a0"/>
    <w:rsid w:val="00CB1D21"/>
  </w:style>
  <w:style w:type="character" w:styleId="a5">
    <w:name w:val="Hyperlink"/>
    <w:uiPriority w:val="99"/>
    <w:rsid w:val="00CB1D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3888</Words>
  <Characters>2217</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Заболотня О. В.</dc:creator>
  <cp:lastModifiedBy>user</cp:lastModifiedBy>
  <cp:revision>5</cp:revision>
  <cp:lastPrinted>2022-09-20T12:32:00Z</cp:lastPrinted>
  <dcterms:created xsi:type="dcterms:W3CDTF">2022-09-20T11:55:00Z</dcterms:created>
  <dcterms:modified xsi:type="dcterms:W3CDTF">2022-10-05T06:49:00Z</dcterms:modified>
</cp:coreProperties>
</file>